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a3"/>
        <w:jc w:val="center"/>
        <w:rPr>
          <w:b/>
          <w:szCs w:val="28"/>
        </w:rPr>
      </w:pPr>
      <w:r>
        <w:rPr>
          <w:szCs w:val="28"/>
        </w:rPr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4.95pt;height:776.95pt" o:ole="">
            <v:imagedata r:id="rId7" o:title=""/>
          </v:shape>
          <o:OLEObject Type="Embed" ProgID="Acrobat.Document.11" ShapeID="_x0000_i1025" DrawAspect="Content" ObjectID="_1665915559" r:id="rId8"/>
        </w:object>
      </w:r>
      <w:bookmarkStart w:id="0" w:name="_GoBack"/>
      <w:bookmarkEnd w:id="0"/>
    </w:p>
    <w:p>
      <w:pPr>
        <w:jc w:val="both"/>
        <w:rPr>
          <w:b/>
          <w:sz w:val="28"/>
          <w:szCs w:val="28"/>
          <w:lang w:eastAsia="en-US"/>
        </w:rPr>
      </w:pPr>
    </w:p>
    <w:p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eastAsia="en-US"/>
        </w:rPr>
        <w:t>План внеурочной деятельности для 1 - 4 классов</w:t>
      </w:r>
    </w:p>
    <w:p>
      <w:pPr>
        <w:spacing w:line="322" w:lineRule="exact"/>
        <w:jc w:val="center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>МБОУ «Новочершилинская  начальная общеобразовательная</w:t>
      </w:r>
    </w:p>
    <w:p>
      <w:pPr>
        <w:spacing w:line="322" w:lineRule="exact"/>
        <w:jc w:val="center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 xml:space="preserve"> школа – детский сад»</w:t>
      </w:r>
    </w:p>
    <w:p>
      <w:pPr>
        <w:spacing w:line="322" w:lineRule="exact"/>
        <w:jc w:val="center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 xml:space="preserve">Лениногорского муниципального района </w:t>
      </w:r>
    </w:p>
    <w:p>
      <w:pPr>
        <w:spacing w:line="322" w:lineRule="exact"/>
        <w:jc w:val="center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>Республики Татарстан</w:t>
      </w:r>
    </w:p>
    <w:p>
      <w:pPr>
        <w:spacing w:line="322" w:lineRule="exact"/>
        <w:jc w:val="center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>на 2020-2021 учебный год</w:t>
      </w:r>
    </w:p>
    <w:p>
      <w:pPr>
        <w:spacing w:line="322" w:lineRule="exact"/>
        <w:rPr>
          <w:b/>
          <w:sz w:val="28"/>
          <w:szCs w:val="28"/>
          <w:lang w:eastAsia="en-US"/>
        </w:rPr>
      </w:pPr>
    </w:p>
    <w:p>
      <w:pPr>
        <w:pStyle w:val="a3"/>
        <w:spacing w:line="276" w:lineRule="auto"/>
        <w:ind w:firstLine="720"/>
        <w:jc w:val="both"/>
        <w:rPr>
          <w:szCs w:val="28"/>
        </w:rPr>
      </w:pPr>
    </w:p>
    <w:p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Внеурочная деятельность </w:t>
      </w:r>
    </w:p>
    <w:p>
      <w:pPr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32"/>
        <w:gridCol w:w="1048"/>
        <w:gridCol w:w="1174"/>
        <w:gridCol w:w="1289"/>
        <w:gridCol w:w="951"/>
      </w:tblGrid>
      <w:tr>
        <w:tc>
          <w:tcPr>
            <w:tcW w:w="39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Направления</w:t>
            </w:r>
          </w:p>
        </w:tc>
        <w:tc>
          <w:tcPr>
            <w:tcW w:w="44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часов в неделю</w:t>
            </w:r>
          </w:p>
        </w:tc>
      </w:tr>
      <w:t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класс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класс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класс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класс</w:t>
            </w:r>
          </w:p>
        </w:tc>
      </w:tr>
      <w:tr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Духовно-нравственное</w:t>
            </w:r>
          </w:p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44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Общеинтеллектуальное</w:t>
            </w:r>
            <w:proofErr w:type="spellEnd"/>
            <w:r>
              <w:rPr>
                <w:sz w:val="28"/>
                <w:szCs w:val="28"/>
              </w:rPr>
              <w:t>:</w:t>
            </w:r>
          </w:p>
        </w:tc>
        <w:tc>
          <w:tcPr>
            <w:tcW w:w="44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</w:tbl>
    <w:p>
      <w:pPr>
        <w:pStyle w:val="a3"/>
        <w:spacing w:line="276" w:lineRule="auto"/>
        <w:ind w:firstLine="720"/>
        <w:jc w:val="both"/>
        <w:rPr>
          <w:szCs w:val="28"/>
        </w:rPr>
      </w:pPr>
    </w:p>
    <w:p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Внеурочная деятельность </w:t>
      </w:r>
    </w:p>
    <w:p>
      <w:pPr>
        <w:pStyle w:val="a3"/>
        <w:spacing w:line="276" w:lineRule="auto"/>
        <w:ind w:firstLine="720"/>
        <w:jc w:val="both"/>
        <w:rPr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67"/>
        <w:gridCol w:w="1139"/>
        <w:gridCol w:w="1328"/>
        <w:gridCol w:w="1501"/>
        <w:gridCol w:w="1310"/>
      </w:tblGrid>
      <w:tr>
        <w:tc>
          <w:tcPr>
            <w:tcW w:w="40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Направления</w:t>
            </w:r>
          </w:p>
        </w:tc>
        <w:tc>
          <w:tcPr>
            <w:tcW w:w="52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часов в неделю</w:t>
            </w:r>
          </w:p>
        </w:tc>
      </w:tr>
      <w:t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класс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класс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класс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c>
          <w:tcPr>
            <w:tcW w:w="4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Спортивно-оздоровительное</w:t>
            </w:r>
          </w:p>
          <w:p>
            <w:pPr>
              <w:rPr>
                <w:sz w:val="28"/>
                <w:szCs w:val="28"/>
              </w:rPr>
            </w:pPr>
          </w:p>
        </w:tc>
        <w:tc>
          <w:tcPr>
            <w:tcW w:w="52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c>
          <w:tcPr>
            <w:tcW w:w="4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Общекультурное</w:t>
            </w:r>
          </w:p>
        </w:tc>
        <w:tc>
          <w:tcPr>
            <w:tcW w:w="52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c>
          <w:tcPr>
            <w:tcW w:w="4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Социальное</w:t>
            </w:r>
          </w:p>
        </w:tc>
        <w:tc>
          <w:tcPr>
            <w:tcW w:w="52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</w:tbl>
    <w:p>
      <w:pPr>
        <w:rPr>
          <w:b/>
          <w:sz w:val="28"/>
          <w:szCs w:val="28"/>
        </w:rPr>
      </w:pPr>
    </w:p>
    <w:p>
      <w:pPr>
        <w:rPr>
          <w:b/>
          <w:sz w:val="28"/>
          <w:szCs w:val="28"/>
        </w:rPr>
      </w:pPr>
    </w:p>
    <w:p>
      <w:pPr>
        <w:spacing w:after="240" w:line="276" w:lineRule="auto"/>
        <w:jc w:val="both"/>
        <w:rPr>
          <w:sz w:val="28"/>
          <w:szCs w:val="28"/>
        </w:rPr>
      </w:pPr>
    </w:p>
    <w:p>
      <w:pPr>
        <w:spacing w:after="240" w:line="276" w:lineRule="auto"/>
        <w:jc w:val="both"/>
        <w:rPr>
          <w:sz w:val="28"/>
          <w:szCs w:val="28"/>
        </w:rPr>
      </w:pPr>
    </w:p>
    <w:p>
      <w:pPr>
        <w:spacing w:after="240" w:line="276" w:lineRule="auto"/>
        <w:jc w:val="both"/>
        <w:rPr>
          <w:sz w:val="28"/>
          <w:szCs w:val="28"/>
        </w:rPr>
      </w:pPr>
    </w:p>
    <w:p>
      <w:pPr>
        <w:spacing w:after="240" w:line="276" w:lineRule="auto"/>
        <w:jc w:val="both"/>
        <w:rPr>
          <w:sz w:val="28"/>
          <w:szCs w:val="28"/>
        </w:rPr>
      </w:pPr>
    </w:p>
    <w:p>
      <w:pPr>
        <w:spacing w:after="240" w:line="276" w:lineRule="auto"/>
        <w:jc w:val="both"/>
        <w:rPr>
          <w:sz w:val="28"/>
          <w:szCs w:val="28"/>
        </w:rPr>
      </w:pPr>
    </w:p>
    <w:p>
      <w:pPr>
        <w:spacing w:after="240" w:line="276" w:lineRule="auto"/>
        <w:jc w:val="both"/>
        <w:rPr>
          <w:sz w:val="28"/>
          <w:szCs w:val="28"/>
        </w:rPr>
      </w:pPr>
    </w:p>
    <w:p>
      <w:pPr>
        <w:spacing w:after="240" w:line="276" w:lineRule="auto"/>
        <w:jc w:val="both"/>
        <w:rPr>
          <w:sz w:val="28"/>
          <w:szCs w:val="28"/>
        </w:rPr>
      </w:pPr>
    </w:p>
    <w:p>
      <w:pPr>
        <w:spacing w:after="240" w:line="276" w:lineRule="auto"/>
        <w:jc w:val="both"/>
        <w:rPr>
          <w:sz w:val="28"/>
          <w:szCs w:val="28"/>
        </w:rPr>
      </w:pPr>
    </w:p>
    <w:p>
      <w:pPr>
        <w:spacing w:after="240" w:line="276" w:lineRule="auto"/>
        <w:jc w:val="both"/>
        <w:rPr>
          <w:sz w:val="28"/>
          <w:szCs w:val="28"/>
        </w:rPr>
      </w:pPr>
    </w:p>
    <w:p>
      <w:pPr>
        <w:spacing w:after="240" w:line="276" w:lineRule="auto"/>
        <w:jc w:val="both"/>
        <w:rPr>
          <w:sz w:val="28"/>
          <w:szCs w:val="28"/>
        </w:rPr>
      </w:pPr>
    </w:p>
    <w:p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Пояснительная записка</w:t>
      </w:r>
    </w:p>
    <w:p>
      <w:pPr>
        <w:spacing w:line="322" w:lineRule="exac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</w:t>
      </w:r>
      <w:r>
        <w:rPr>
          <w:b/>
          <w:color w:val="000000"/>
          <w:sz w:val="28"/>
          <w:szCs w:val="28"/>
        </w:rPr>
        <w:t xml:space="preserve"> плану внеурочной деятельности</w:t>
      </w:r>
      <w:r>
        <w:rPr>
          <w:b/>
          <w:sz w:val="28"/>
          <w:szCs w:val="28"/>
        </w:rPr>
        <w:t xml:space="preserve">  для 1 -4 классов</w:t>
      </w:r>
    </w:p>
    <w:p>
      <w:pPr>
        <w:spacing w:line="322" w:lineRule="exact"/>
        <w:jc w:val="center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</w:rPr>
        <w:t>МБОУ «</w:t>
      </w:r>
      <w:r>
        <w:rPr>
          <w:b/>
          <w:sz w:val="28"/>
          <w:szCs w:val="28"/>
          <w:lang w:eastAsia="en-US"/>
        </w:rPr>
        <w:t>Новочершилинская  начальная общеобразовательная</w:t>
      </w:r>
    </w:p>
    <w:p>
      <w:pPr>
        <w:spacing w:line="322" w:lineRule="exact"/>
        <w:jc w:val="center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 xml:space="preserve"> школа – детский сад»</w:t>
      </w:r>
    </w:p>
    <w:p>
      <w:pPr>
        <w:spacing w:line="322" w:lineRule="exact"/>
        <w:jc w:val="center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 xml:space="preserve">Лениногорского муниципального района </w:t>
      </w:r>
    </w:p>
    <w:p>
      <w:pPr>
        <w:spacing w:line="322" w:lineRule="exact"/>
        <w:jc w:val="center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>Республики Татарстан</w:t>
      </w:r>
    </w:p>
    <w:p>
      <w:pPr>
        <w:spacing w:line="322" w:lineRule="exact"/>
        <w:jc w:val="center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>на 2020-2021 учебный год</w:t>
      </w:r>
    </w:p>
    <w:p>
      <w:pPr>
        <w:spacing w:line="322" w:lineRule="exact"/>
        <w:jc w:val="center"/>
        <w:rPr>
          <w:b/>
          <w:sz w:val="28"/>
          <w:szCs w:val="28"/>
          <w:lang w:eastAsia="en-US"/>
        </w:rPr>
      </w:pPr>
    </w:p>
    <w:p>
      <w:pPr>
        <w:spacing w:line="322" w:lineRule="exact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План внеурочной деятельности является организационным механизмом реализации основной образовательной программы начального общего образования.</w:t>
      </w:r>
    </w:p>
    <w:p>
      <w:pPr>
        <w:pStyle w:val="a3"/>
        <w:ind w:firstLine="720"/>
        <w:jc w:val="both"/>
        <w:rPr>
          <w:szCs w:val="28"/>
        </w:rPr>
      </w:pPr>
      <w:r>
        <w:rPr>
          <w:color w:val="000000"/>
          <w:szCs w:val="28"/>
        </w:rPr>
        <w:t xml:space="preserve">План внеурочной деятельности </w:t>
      </w:r>
      <w:r>
        <w:rPr>
          <w:szCs w:val="28"/>
        </w:rPr>
        <w:t xml:space="preserve"> общеобразовательной организации разработан на основе: </w:t>
      </w:r>
    </w:p>
    <w:p>
      <w:pPr>
        <w:pStyle w:val="a3"/>
        <w:ind w:firstLine="720"/>
        <w:jc w:val="both"/>
        <w:rPr>
          <w:szCs w:val="28"/>
        </w:rPr>
      </w:pPr>
      <w:r>
        <w:rPr>
          <w:szCs w:val="28"/>
        </w:rPr>
        <w:t>- Закона Российской Федерации от 29.12.2012 №273-ФЗ «Об образовании в Российской Федерации» (далее - Федеральный закон № 273-ФЗ);</w:t>
      </w:r>
    </w:p>
    <w:p>
      <w:pPr>
        <w:pStyle w:val="a3"/>
        <w:ind w:firstLine="720"/>
        <w:jc w:val="both"/>
        <w:rPr>
          <w:szCs w:val="28"/>
        </w:rPr>
      </w:pPr>
      <w:r>
        <w:rPr>
          <w:szCs w:val="28"/>
        </w:rPr>
        <w:t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– ФГОС начального общего образования);</w:t>
      </w:r>
    </w:p>
    <w:p>
      <w:pPr>
        <w:pStyle w:val="a3"/>
        <w:ind w:firstLine="720"/>
        <w:jc w:val="both"/>
        <w:rPr>
          <w:szCs w:val="28"/>
        </w:rPr>
      </w:pPr>
      <w:r>
        <w:rPr>
          <w:szCs w:val="28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1015.</w:t>
      </w:r>
    </w:p>
    <w:p>
      <w:pPr>
        <w:pStyle w:val="a3"/>
        <w:ind w:firstLine="720"/>
        <w:jc w:val="both"/>
        <w:rPr>
          <w:szCs w:val="28"/>
        </w:rPr>
      </w:pPr>
      <w:r>
        <w:rPr>
          <w:szCs w:val="28"/>
        </w:rPr>
        <w:t>- Закона Российской Федерации от 25.10.1991 № 1807-1 (ред. от 12.03.2014) «О языках народов Российской Федерации»;</w:t>
      </w:r>
    </w:p>
    <w:p>
      <w:pPr>
        <w:pStyle w:val="a3"/>
        <w:ind w:firstLine="720"/>
        <w:jc w:val="both"/>
        <w:rPr>
          <w:szCs w:val="28"/>
        </w:rPr>
      </w:pPr>
      <w:r>
        <w:rPr>
          <w:szCs w:val="28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>
      <w:pPr>
        <w:pStyle w:val="a3"/>
        <w:ind w:firstLine="720"/>
        <w:jc w:val="both"/>
        <w:rPr>
          <w:szCs w:val="28"/>
        </w:rPr>
      </w:pPr>
      <w:r>
        <w:rPr>
          <w:szCs w:val="28"/>
        </w:rPr>
        <w:t>- СанПиН 2.4.2.2821–10 «Санитарно-эпидемиологические требования к условиям и организации обучения в общеобразовательных учреждениях» от 29.12.2010 № 189;</w:t>
      </w:r>
    </w:p>
    <w:p>
      <w:pPr>
        <w:pStyle w:val="a3"/>
        <w:ind w:firstLine="720"/>
        <w:jc w:val="both"/>
        <w:rPr>
          <w:szCs w:val="28"/>
        </w:rPr>
      </w:pPr>
      <w:r>
        <w:rPr>
          <w:szCs w:val="28"/>
        </w:rPr>
        <w:t xml:space="preserve">- Постановления Главного государственного санитарного врача РФ от 04.07.2014 № 41 «Об утверждении СанПиН 2.4.4.3172-14 «Санитарно-эпидемиологические требования к устройству, содержанию и организации </w:t>
      </w:r>
      <w:proofErr w:type="gramStart"/>
      <w:r>
        <w:rPr>
          <w:szCs w:val="28"/>
        </w:rPr>
        <w:t>режима работы образовательных организаций дополнительного образования детей</w:t>
      </w:r>
      <w:proofErr w:type="gramEnd"/>
      <w:r>
        <w:rPr>
          <w:szCs w:val="28"/>
        </w:rPr>
        <w:t>»;</w:t>
      </w:r>
    </w:p>
    <w:p>
      <w:pPr>
        <w:pStyle w:val="a3"/>
        <w:ind w:firstLine="720"/>
        <w:jc w:val="both"/>
        <w:rPr>
          <w:szCs w:val="28"/>
        </w:rPr>
      </w:pPr>
      <w:r>
        <w:rPr>
          <w:szCs w:val="28"/>
        </w:rPr>
        <w:lastRenderedPageBreak/>
        <w:t>- Примерной основной образовательной программы начального общего образования (</w:t>
      </w:r>
      <w:proofErr w:type="gramStart"/>
      <w:r>
        <w:rPr>
          <w:szCs w:val="28"/>
        </w:rPr>
        <w:t>одобрена</w:t>
      </w:r>
      <w:proofErr w:type="gramEnd"/>
      <w:r>
        <w:rPr>
          <w:szCs w:val="28"/>
        </w:rPr>
        <w:t xml:space="preserve"> решением федерального учебно-методического объединения по общему образованию, протокол от 08.04.2015 № 1/15);</w:t>
      </w:r>
    </w:p>
    <w:p>
      <w:pPr>
        <w:pStyle w:val="a3"/>
        <w:ind w:firstLine="720"/>
        <w:jc w:val="both"/>
        <w:rPr>
          <w:szCs w:val="28"/>
        </w:rPr>
      </w:pPr>
      <w:r>
        <w:rPr>
          <w:szCs w:val="28"/>
        </w:rPr>
        <w:t>- Закона Республики Татарстан от 22.07.2013 № 68-ЗРТ «Об образовании»;</w:t>
      </w:r>
    </w:p>
    <w:p>
      <w:pPr>
        <w:pStyle w:val="a3"/>
        <w:ind w:firstLine="720"/>
        <w:jc w:val="both"/>
        <w:rPr>
          <w:szCs w:val="28"/>
        </w:rPr>
      </w:pPr>
      <w:r>
        <w:rPr>
          <w:szCs w:val="28"/>
        </w:rPr>
        <w:t>- Закона Республики Татарстан от 08.07.1992 № 1560-XII «О государственных языках Республики Татарстан и других языках в Республике Татарстан».</w:t>
      </w:r>
    </w:p>
    <w:p>
      <w:pPr>
        <w:pStyle w:val="a3"/>
        <w:ind w:firstLine="720"/>
        <w:jc w:val="both"/>
        <w:rPr>
          <w:color w:val="000000" w:themeColor="text1"/>
          <w:szCs w:val="28"/>
        </w:rPr>
      </w:pPr>
      <w:r>
        <w:rPr>
          <w:szCs w:val="28"/>
        </w:rPr>
        <w:t xml:space="preserve">- </w:t>
      </w:r>
      <w:r>
        <w:rPr>
          <w:color w:val="000000" w:themeColor="text1"/>
          <w:szCs w:val="28"/>
        </w:rPr>
        <w:t>Методических рекомендаций МО и НРТ по проектированию содержания организационного раздела основной образовательной программы начального общего образования для общеобразовательных организаций Республики Татарстан  № 1054/15 от 19.08.2015г</w:t>
      </w:r>
    </w:p>
    <w:p>
      <w:pPr>
        <w:pStyle w:val="a3"/>
        <w:ind w:firstLine="720"/>
        <w:jc w:val="both"/>
        <w:rPr>
          <w:szCs w:val="28"/>
        </w:rPr>
      </w:pPr>
      <w:r>
        <w:rPr>
          <w:color w:val="000000" w:themeColor="text1"/>
          <w:szCs w:val="28"/>
        </w:rPr>
        <w:t>-</w:t>
      </w:r>
      <w:r>
        <w:rPr>
          <w:szCs w:val="28"/>
        </w:rPr>
        <w:t xml:space="preserve"> Основной образовательной программы  ФГОС НОО МБОУ «Федоровская НОШ»</w:t>
      </w:r>
    </w:p>
    <w:p>
      <w:pPr>
        <w:pStyle w:val="a3"/>
        <w:ind w:firstLine="708"/>
        <w:jc w:val="both"/>
        <w:rPr>
          <w:szCs w:val="28"/>
        </w:rPr>
      </w:pPr>
      <w:r>
        <w:rPr>
          <w:szCs w:val="28"/>
        </w:rPr>
        <w:t xml:space="preserve">   </w:t>
      </w:r>
      <w:r>
        <w:rPr>
          <w:color w:val="000000"/>
          <w:szCs w:val="28"/>
        </w:rPr>
        <w:t xml:space="preserve">План внеурочной деятельности обеспечивает учет индивидуальных особенностей и </w:t>
      </w:r>
      <w:proofErr w:type="gramStart"/>
      <w:r>
        <w:rPr>
          <w:color w:val="000000"/>
          <w:szCs w:val="28"/>
        </w:rPr>
        <w:t>потребностей</w:t>
      </w:r>
      <w:proofErr w:type="gramEnd"/>
      <w:r>
        <w:rPr>
          <w:color w:val="000000"/>
          <w:szCs w:val="28"/>
        </w:rPr>
        <w:t xml:space="preserve"> обучающихся через организацию внеурочной деятельности. </w:t>
      </w:r>
      <w:r>
        <w:rPr>
          <w:szCs w:val="28"/>
        </w:rPr>
        <w:t xml:space="preserve">Внеурочная деятельность организуется по направлениям развития личности (спортивно-оздоровительное, духовно-нравственное, социальное, </w:t>
      </w:r>
      <w:proofErr w:type="spellStart"/>
      <w:r>
        <w:rPr>
          <w:szCs w:val="28"/>
        </w:rPr>
        <w:t>общеинтеллектуальное</w:t>
      </w:r>
      <w:proofErr w:type="spellEnd"/>
      <w:r>
        <w:rPr>
          <w:szCs w:val="28"/>
        </w:rPr>
        <w:t>, общекультурное). Содер</w:t>
      </w:r>
      <w:r>
        <w:rPr>
          <w:spacing w:val="2"/>
          <w:szCs w:val="28"/>
        </w:rPr>
        <w:t xml:space="preserve">жание занятий, предусмотренных во внеурочной деятельности, осуществляется </w:t>
      </w:r>
      <w:r>
        <w:rPr>
          <w:szCs w:val="28"/>
        </w:rPr>
        <w:t>в таких формах как хоровые студии, школьные спортивные клубы и секции, олимпиады,  экскурсии, викторины, соревнования, поисковые и научные исследования, мастерские, развивающие курсы, научные клубы, культпоходы, творческие проекты, поисковые исследования и другие формы на добровольной основе в соответствии с выбором участников образовательных отношений.</w:t>
      </w:r>
    </w:p>
    <w:p>
      <w:pPr>
        <w:ind w:firstLine="567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Внеурочная деятельность способствует решению образовательных, воспитательных и развивающих </w:t>
      </w:r>
      <w:r>
        <w:rPr>
          <w:rFonts w:eastAsia="Calibri"/>
          <w:b/>
          <w:sz w:val="28"/>
          <w:szCs w:val="28"/>
          <w:lang w:eastAsia="en-US"/>
        </w:rPr>
        <w:t>задач</w:t>
      </w:r>
      <w:r>
        <w:rPr>
          <w:rFonts w:eastAsia="Calibri"/>
          <w:sz w:val="28"/>
          <w:szCs w:val="28"/>
          <w:lang w:eastAsia="en-US"/>
        </w:rPr>
        <w:t>:</w:t>
      </w:r>
    </w:p>
    <w:p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-овладение обучающимися в соответствии с возрастными возможностями разными видами деятельности (учебной, трудовой, коммуникативной, двигательной, художественной), умением адаптироваться к окружающей природной и социальной среде, поддерживать и укреплять свое здоровье и физическую культуру;</w:t>
      </w:r>
    </w:p>
    <w:p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-формирование у обучающихся правильного отношения к окружающему миру, этических и нравственных норм, эстетических чувств, желанию участвовать в разнообразной творческой деятельности;</w:t>
      </w:r>
    </w:p>
    <w:p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-формирование знаний и умений, и способам деятельности, определяющих степень готовности к дальнейшему обучению, развитие элементарных навыков самообразования, контроля и самооценки.</w:t>
      </w:r>
    </w:p>
    <w:p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Внеурочная деятельность  выведена за рамки учебного плана. Анализ потенциальных возможностей педагогов школы и по результатам изучения социального опроса (анкетирования) родителей (законных представителей) и обучающихся позволил создать условия для реализации через  план внеурочной деятельности следующие направления:</w:t>
      </w:r>
    </w:p>
    <w:p>
      <w:pPr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4"/>
        <w:gridCol w:w="4786"/>
      </w:tblGrid>
      <w:tr>
        <w:tc>
          <w:tcPr>
            <w:tcW w:w="4784" w:type="dxa"/>
            <w:shd w:val="clear" w:color="auto" w:fill="auto"/>
          </w:tcPr>
          <w:p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lastRenderedPageBreak/>
              <w:t>Направление</w:t>
            </w:r>
          </w:p>
        </w:tc>
        <w:tc>
          <w:tcPr>
            <w:tcW w:w="4786" w:type="dxa"/>
            <w:shd w:val="clear" w:color="auto" w:fill="auto"/>
          </w:tcPr>
          <w:p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Реализация (через учебный план)</w:t>
            </w:r>
          </w:p>
        </w:tc>
      </w:tr>
      <w:tr>
        <w:trPr>
          <w:trHeight w:val="516"/>
        </w:trPr>
        <w:tc>
          <w:tcPr>
            <w:tcW w:w="4784" w:type="dxa"/>
            <w:shd w:val="clear" w:color="auto" w:fill="auto"/>
          </w:tcPr>
          <w:p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Спортивно оздоровительное</w:t>
            </w:r>
          </w:p>
        </w:tc>
        <w:tc>
          <w:tcPr>
            <w:tcW w:w="4786" w:type="dxa"/>
            <w:shd w:val="clear" w:color="auto" w:fill="auto"/>
          </w:tcPr>
          <w:p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«Здоровей-ка» </w:t>
            </w:r>
          </w:p>
        </w:tc>
      </w:tr>
      <w:tr>
        <w:trPr>
          <w:trHeight w:val="516"/>
        </w:trPr>
        <w:tc>
          <w:tcPr>
            <w:tcW w:w="4784" w:type="dxa"/>
            <w:shd w:val="clear" w:color="auto" w:fill="auto"/>
          </w:tcPr>
          <w:p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Духовно-нравственное</w:t>
            </w:r>
          </w:p>
        </w:tc>
        <w:tc>
          <w:tcPr>
            <w:tcW w:w="4786" w:type="dxa"/>
            <w:shd w:val="clear" w:color="auto" w:fill="auto"/>
          </w:tcPr>
          <w:p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«</w:t>
            </w:r>
            <w:proofErr w:type="gramStart"/>
            <w:r>
              <w:rPr>
                <w:sz w:val="28"/>
                <w:szCs w:val="28"/>
                <w:lang w:eastAsia="en-US"/>
              </w:rPr>
              <w:t>Я-гражданин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России» </w:t>
            </w:r>
          </w:p>
        </w:tc>
      </w:tr>
      <w:tr>
        <w:tc>
          <w:tcPr>
            <w:tcW w:w="4784" w:type="dxa"/>
            <w:shd w:val="clear" w:color="auto" w:fill="auto"/>
          </w:tcPr>
          <w:p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Социальное</w:t>
            </w:r>
          </w:p>
        </w:tc>
        <w:tc>
          <w:tcPr>
            <w:tcW w:w="4786" w:type="dxa"/>
            <w:shd w:val="clear" w:color="auto" w:fill="auto"/>
          </w:tcPr>
          <w:p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Кружок ЮИД</w:t>
            </w:r>
          </w:p>
        </w:tc>
      </w:tr>
      <w:tr>
        <w:tc>
          <w:tcPr>
            <w:tcW w:w="4784" w:type="dxa"/>
            <w:shd w:val="clear" w:color="auto" w:fill="auto"/>
          </w:tcPr>
          <w:p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Общеинтеллектуальное</w:t>
            </w:r>
            <w:proofErr w:type="spellEnd"/>
          </w:p>
        </w:tc>
        <w:tc>
          <w:tcPr>
            <w:tcW w:w="4786" w:type="dxa"/>
            <w:shd w:val="clear" w:color="auto" w:fill="auto"/>
          </w:tcPr>
          <w:p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«Веселая математика»</w:t>
            </w:r>
          </w:p>
        </w:tc>
      </w:tr>
      <w:tr>
        <w:tc>
          <w:tcPr>
            <w:tcW w:w="4784" w:type="dxa"/>
            <w:shd w:val="clear" w:color="auto" w:fill="auto"/>
          </w:tcPr>
          <w:p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Общекультурное</w:t>
            </w:r>
          </w:p>
        </w:tc>
        <w:tc>
          <w:tcPr>
            <w:tcW w:w="4786" w:type="dxa"/>
            <w:shd w:val="clear" w:color="auto" w:fill="auto"/>
          </w:tcPr>
          <w:p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«</w:t>
            </w:r>
            <w:proofErr w:type="spellStart"/>
            <w:r>
              <w:rPr>
                <w:sz w:val="28"/>
                <w:szCs w:val="28"/>
                <w:lang w:eastAsia="en-US"/>
              </w:rPr>
              <w:t>Самоделкин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» </w:t>
            </w:r>
          </w:p>
        </w:tc>
      </w:tr>
    </w:tbl>
    <w:p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В связи с отсутствием возможности для финансирования внеурочной   деятельности в полном объеме, МБОУ «Федоровская начальная общеобразовательная школа» оплачивается 2 часа внеурочной деятельности.</w:t>
      </w:r>
    </w:p>
    <w:p>
      <w:pPr>
        <w:ind w:firstLine="567"/>
        <w:jc w:val="both"/>
        <w:rPr>
          <w:rFonts w:eastAsia="Calibri"/>
          <w:color w:val="000000"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Спортивно-оздоровительное</w:t>
      </w:r>
      <w:r>
        <w:rPr>
          <w:rFonts w:eastAsia="Calibri"/>
          <w:b/>
          <w:bCs/>
          <w:color w:val="000000"/>
          <w:sz w:val="28"/>
          <w:szCs w:val="28"/>
          <w:lang w:eastAsia="en-US"/>
        </w:rPr>
        <w:t xml:space="preserve"> направление</w:t>
      </w:r>
      <w:r>
        <w:rPr>
          <w:rFonts w:eastAsia="Calibri"/>
          <w:color w:val="000000"/>
          <w:sz w:val="28"/>
          <w:szCs w:val="28"/>
          <w:lang w:eastAsia="en-US"/>
        </w:rPr>
        <w:t xml:space="preserve"> ориентировано на формирование у ребёнка признания ценности здоровья, чувства ответственности за сохранение и укрепление своего здоровья. </w:t>
      </w:r>
    </w:p>
    <w:p>
      <w:pPr>
        <w:ind w:firstLine="567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 xml:space="preserve">Духовно-нравственное направление </w:t>
      </w:r>
      <w:r>
        <w:rPr>
          <w:rFonts w:eastAsia="Calibri"/>
          <w:sz w:val="28"/>
          <w:szCs w:val="28"/>
          <w:lang w:eastAsia="en-US"/>
        </w:rPr>
        <w:t xml:space="preserve">ориентировано на воспитание патриотических чувств обучающихся, их гражданственности, уважения к правам, свободам и обязанностям человека и нравственных чувств и этического сознания; получение знаний о </w:t>
      </w:r>
      <w:proofErr w:type="gramStart"/>
      <w:r>
        <w:rPr>
          <w:rFonts w:eastAsia="Calibri"/>
          <w:sz w:val="28"/>
          <w:szCs w:val="28"/>
          <w:lang w:eastAsia="en-US"/>
        </w:rPr>
        <w:t>прекрасном</w:t>
      </w:r>
      <w:proofErr w:type="gramEnd"/>
      <w:r>
        <w:rPr>
          <w:rFonts w:eastAsia="Calibri"/>
          <w:sz w:val="28"/>
          <w:szCs w:val="28"/>
          <w:lang w:eastAsia="en-US"/>
        </w:rPr>
        <w:t>, воспитание умений видеть, чувствовать, понимать и создавать прекрасное.</w:t>
      </w:r>
    </w:p>
    <w:p>
      <w:pPr>
        <w:ind w:firstLine="567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b/>
          <w:bCs/>
          <w:sz w:val="28"/>
          <w:szCs w:val="28"/>
          <w:lang w:eastAsia="en-US"/>
        </w:rPr>
        <w:t xml:space="preserve">Социальное направление </w:t>
      </w:r>
      <w:r>
        <w:rPr>
          <w:rFonts w:eastAsia="Calibri"/>
          <w:bCs/>
          <w:sz w:val="28"/>
          <w:szCs w:val="28"/>
          <w:lang w:eastAsia="en-US"/>
        </w:rPr>
        <w:t xml:space="preserve">ориентировано на </w:t>
      </w:r>
      <w:r>
        <w:rPr>
          <w:rFonts w:eastAsia="Calibri"/>
          <w:sz w:val="28"/>
          <w:szCs w:val="28"/>
          <w:lang w:eastAsia="en-US"/>
        </w:rPr>
        <w:t>формирование у детей первоначальных навыков культуры труда, организации коллективной и индивидуальной работы, умений самостоятельно или коллективно реализовывать социально-значимую деятельность и осознания своей роли в ней как преобразователя, бережного отношения и любви к природе.</w:t>
      </w:r>
    </w:p>
    <w:p>
      <w:pPr>
        <w:ind w:firstLine="567"/>
        <w:jc w:val="both"/>
        <w:rPr>
          <w:rFonts w:eastAsia="Calibri"/>
          <w:sz w:val="28"/>
          <w:szCs w:val="28"/>
          <w:lang w:eastAsia="en-US"/>
        </w:rPr>
      </w:pPr>
      <w:proofErr w:type="spellStart"/>
      <w:r>
        <w:rPr>
          <w:rFonts w:eastAsia="Calibri"/>
          <w:b/>
          <w:color w:val="000000"/>
          <w:sz w:val="28"/>
          <w:szCs w:val="28"/>
          <w:lang w:eastAsia="en-US"/>
        </w:rPr>
        <w:t>Общеинтеллектуальное</w:t>
      </w:r>
      <w:proofErr w:type="spellEnd"/>
      <w:r>
        <w:rPr>
          <w:rFonts w:eastAsia="Calibri"/>
          <w:b/>
          <w:color w:val="000000"/>
          <w:sz w:val="28"/>
          <w:szCs w:val="28"/>
          <w:lang w:eastAsia="en-US"/>
        </w:rPr>
        <w:t xml:space="preserve"> направление н</w:t>
      </w:r>
      <w:r>
        <w:rPr>
          <w:rFonts w:eastAsia="Calibri"/>
          <w:color w:val="000000"/>
          <w:sz w:val="28"/>
          <w:szCs w:val="28"/>
          <w:lang w:eastAsia="en-US"/>
        </w:rPr>
        <w:t>аправлено</w:t>
      </w:r>
      <w:r>
        <w:rPr>
          <w:rFonts w:eastAsia="Calibri"/>
          <w:b/>
          <w:color w:val="000000"/>
          <w:sz w:val="28"/>
          <w:szCs w:val="28"/>
          <w:lang w:eastAsia="en-US"/>
        </w:rPr>
        <w:t xml:space="preserve"> на </w:t>
      </w:r>
      <w:r>
        <w:rPr>
          <w:rFonts w:eastAsia="Calibri"/>
          <w:sz w:val="28"/>
          <w:szCs w:val="28"/>
          <w:lang w:eastAsia="en-US"/>
        </w:rPr>
        <w:t>формирование способностей к эффективному и нестандартному мышлению, которые дети быстро переносят на другие предметы и используют при решении любых жизненных проблем.</w:t>
      </w:r>
    </w:p>
    <w:p>
      <w:pPr>
        <w:ind w:firstLine="567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b/>
          <w:color w:val="000000"/>
          <w:sz w:val="28"/>
          <w:szCs w:val="28"/>
          <w:lang w:eastAsia="en-US"/>
        </w:rPr>
        <w:t>Общекультурное направление</w:t>
      </w:r>
      <w:r>
        <w:rPr>
          <w:rFonts w:eastAsia="Calibri"/>
          <w:color w:val="000000"/>
          <w:sz w:val="28"/>
          <w:szCs w:val="28"/>
          <w:lang w:eastAsia="en-US"/>
        </w:rPr>
        <w:t xml:space="preserve"> направлено на </w:t>
      </w:r>
      <w:r>
        <w:rPr>
          <w:rFonts w:eastAsia="Calibri"/>
          <w:sz w:val="28"/>
          <w:szCs w:val="28"/>
          <w:lang w:eastAsia="en-US"/>
        </w:rPr>
        <w:t xml:space="preserve">воспитание ребёнка через приобщение к лучшим традициям народной культуры, непрерывное образование детей в творческой деятельности, которое включает формирование зрительных представлений, развитие чувства цвета, ритма, композиции, эстетического и художественного вкуса. </w:t>
      </w:r>
    </w:p>
    <w:p>
      <w:pPr>
        <w:pStyle w:val="a3"/>
        <w:jc w:val="both"/>
        <w:rPr>
          <w:szCs w:val="28"/>
        </w:rPr>
      </w:pPr>
      <w:r>
        <w:rPr>
          <w:b/>
          <w:szCs w:val="28"/>
        </w:rPr>
        <w:t xml:space="preserve">            </w:t>
      </w:r>
    </w:p>
    <w:sectPr>
      <w:footerReference w:type="default" r:id="rId9"/>
      <w:pgSz w:w="11906" w:h="16838"/>
      <w:pgMar w:top="1134" w:right="850" w:bottom="1134" w:left="1701" w:header="283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16563310"/>
      <w:docPartObj>
        <w:docPartGallery w:val="Page Numbers (Bottom of Page)"/>
        <w:docPartUnique/>
      </w:docPartObj>
    </w:sdtPr>
    <w:sdtContent>
      <w:p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paragraph" w:styleId="a4">
    <w:name w:val="Balloon Text"/>
    <w:basedOn w:val="a"/>
    <w:link w:val="a5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6">
    <w:name w:val="Новый"/>
    <w:basedOn w:val="a"/>
    <w:pPr>
      <w:spacing w:line="360" w:lineRule="auto"/>
      <w:ind w:firstLine="454"/>
      <w:jc w:val="both"/>
    </w:pPr>
    <w:rPr>
      <w:sz w:val="28"/>
    </w:rPr>
  </w:style>
  <w:style w:type="paragraph" w:styleId="a7">
    <w:name w:val="header"/>
    <w:basedOn w:val="a"/>
    <w:link w:val="a8"/>
    <w:uiPriority w:val="99"/>
    <w:unhideWhenUsed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paragraph" w:styleId="a4">
    <w:name w:val="Balloon Text"/>
    <w:basedOn w:val="a"/>
    <w:link w:val="a5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6">
    <w:name w:val="Новый"/>
    <w:basedOn w:val="a"/>
    <w:pPr>
      <w:spacing w:line="360" w:lineRule="auto"/>
      <w:ind w:firstLine="454"/>
      <w:jc w:val="both"/>
    </w:pPr>
    <w:rPr>
      <w:sz w:val="28"/>
    </w:rPr>
  </w:style>
  <w:style w:type="paragraph" w:styleId="a7">
    <w:name w:val="header"/>
    <w:basedOn w:val="a"/>
    <w:link w:val="a8"/>
    <w:uiPriority w:val="99"/>
    <w:unhideWhenUsed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797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8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1024</Words>
  <Characters>5842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Matrix</cp:lastModifiedBy>
  <cp:revision>2</cp:revision>
  <cp:lastPrinted>2020-11-03T10:29:00Z</cp:lastPrinted>
  <dcterms:created xsi:type="dcterms:W3CDTF">2020-11-03T10:33:00Z</dcterms:created>
  <dcterms:modified xsi:type="dcterms:W3CDTF">2020-11-03T10:33:00Z</dcterms:modified>
</cp:coreProperties>
</file>